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06" w:rsidRPr="002C3706" w:rsidRDefault="00FE08A3" w:rsidP="005375D6">
      <w:pPr>
        <w:jc w:val="center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  <w:r w:rsidRPr="002C3706">
        <w:rPr>
          <w:rFonts w:ascii="Arial" w:hAnsi="Arial" w:cs="Arial"/>
          <w:b/>
          <w:sz w:val="24"/>
          <w:szCs w:val="24"/>
        </w:rPr>
        <w:t xml:space="preserve">Statement </w:t>
      </w:r>
      <w:r w:rsidR="00916C11" w:rsidRPr="002C3706">
        <w:rPr>
          <w:rFonts w:ascii="Arial" w:hAnsi="Arial" w:cs="Arial"/>
          <w:b/>
          <w:sz w:val="24"/>
          <w:szCs w:val="24"/>
        </w:rPr>
        <w:t>by the Women and Gender Constituency for the</w:t>
      </w:r>
      <w:r w:rsidRPr="002C3706">
        <w:rPr>
          <w:rFonts w:ascii="Arial" w:hAnsi="Arial" w:cs="Arial"/>
          <w:b/>
          <w:sz w:val="24"/>
          <w:szCs w:val="24"/>
        </w:rPr>
        <w:t xml:space="preserve"> ADP closing plenary</w:t>
      </w:r>
      <w:r w:rsidR="00916C11" w:rsidRPr="002C3706">
        <w:rPr>
          <w:rFonts w:ascii="Arial" w:hAnsi="Arial" w:cs="Arial"/>
          <w:b/>
          <w:sz w:val="24"/>
          <w:szCs w:val="24"/>
        </w:rPr>
        <w:t xml:space="preserve"> </w:t>
      </w:r>
      <w:r w:rsidR="002C3706" w:rsidRPr="002C3706">
        <w:rPr>
          <w:rFonts w:ascii="Arial" w:hAnsi="Arial" w:cs="Arial"/>
          <w:color w:val="666666"/>
          <w:sz w:val="24"/>
          <w:szCs w:val="24"/>
          <w:shd w:val="clear" w:color="auto" w:fill="FFFFFF"/>
        </w:rPr>
        <w:t>The forty-second sessions of the Subsidiary Body for Implementation (</w:t>
      </w:r>
      <w:r w:rsidR="002C3706" w:rsidRPr="002C3706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SBI 42</w:t>
      </w:r>
      <w:r w:rsidR="002C3706" w:rsidRPr="002C3706">
        <w:rPr>
          <w:rFonts w:ascii="Arial" w:hAnsi="Arial" w:cs="Arial"/>
          <w:color w:val="666666"/>
          <w:sz w:val="24"/>
          <w:szCs w:val="24"/>
          <w:shd w:val="clear" w:color="auto" w:fill="FFFFFF"/>
        </w:rPr>
        <w:t>) and the Subsidiary Body for Scientific and Technological Advice (</w:t>
      </w:r>
      <w:r w:rsidR="002C3706" w:rsidRPr="002C3706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SBSTA 42</w:t>
      </w:r>
      <w:r w:rsidR="002C3706" w:rsidRPr="002C3706">
        <w:rPr>
          <w:rFonts w:ascii="Arial" w:hAnsi="Arial" w:cs="Arial"/>
          <w:color w:val="666666"/>
          <w:sz w:val="24"/>
          <w:szCs w:val="24"/>
          <w:shd w:val="clear" w:color="auto" w:fill="FFFFFF"/>
        </w:rPr>
        <w:t>), as well as the June session of the Ad Hoc Working Group on the Durban Platform for Enhanced Action (</w:t>
      </w:r>
      <w:r w:rsidR="002C3706" w:rsidRPr="002C3706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ADP2-9</w:t>
      </w:r>
      <w:r w:rsidR="002C3706" w:rsidRPr="002C3706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="002C3706" w:rsidRPr="002C3706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5375D6" w:rsidRPr="005375D6" w:rsidRDefault="00916C11" w:rsidP="005375D6">
      <w:pPr>
        <w:jc w:val="center"/>
        <w:rPr>
          <w:rFonts w:ascii="Arial" w:hAnsi="Arial" w:cs="Arial"/>
          <w:b/>
          <w:sz w:val="24"/>
          <w:szCs w:val="24"/>
        </w:rPr>
      </w:pPr>
      <w:r w:rsidRPr="005375D6">
        <w:rPr>
          <w:rFonts w:ascii="Arial" w:hAnsi="Arial" w:cs="Arial"/>
          <w:b/>
          <w:sz w:val="24"/>
          <w:szCs w:val="24"/>
        </w:rPr>
        <w:t>Thursday, June 11, 2015</w:t>
      </w:r>
    </w:p>
    <w:p w:rsidR="00A17094" w:rsidRPr="009554F4" w:rsidRDefault="00A17094" w:rsidP="00716245">
      <w:pPr>
        <w:rPr>
          <w:rFonts w:ascii="Arial" w:hAnsi="Arial" w:cs="Arial"/>
          <w:sz w:val="24"/>
          <w:szCs w:val="24"/>
        </w:rPr>
      </w:pPr>
      <w:r w:rsidRPr="009554F4">
        <w:rPr>
          <w:rFonts w:ascii="Arial" w:hAnsi="Arial" w:cs="Arial"/>
          <w:sz w:val="24"/>
          <w:szCs w:val="24"/>
        </w:rPr>
        <w:t xml:space="preserve">The Women and Gender Constituency would like </w:t>
      </w:r>
      <w:r w:rsidR="009554F4">
        <w:rPr>
          <w:rFonts w:ascii="Arial" w:hAnsi="Arial" w:cs="Arial"/>
          <w:sz w:val="24"/>
          <w:szCs w:val="24"/>
        </w:rPr>
        <w:t xml:space="preserve">to express concern that </w:t>
      </w:r>
      <w:r w:rsidR="00DD6405">
        <w:rPr>
          <w:rFonts w:ascii="Arial" w:hAnsi="Arial" w:cs="Arial"/>
          <w:sz w:val="24"/>
          <w:szCs w:val="24"/>
        </w:rPr>
        <w:t>we</w:t>
      </w:r>
      <w:r w:rsidR="00B90D15" w:rsidRPr="009554F4">
        <w:rPr>
          <w:rFonts w:ascii="Arial" w:hAnsi="Arial" w:cs="Arial"/>
          <w:sz w:val="24"/>
          <w:szCs w:val="24"/>
        </w:rPr>
        <w:t xml:space="preserve"> now </w:t>
      </w:r>
      <w:r w:rsidR="00DD6405">
        <w:rPr>
          <w:rFonts w:ascii="Arial" w:hAnsi="Arial" w:cs="Arial"/>
          <w:sz w:val="24"/>
          <w:szCs w:val="24"/>
        </w:rPr>
        <w:t xml:space="preserve">have </w:t>
      </w:r>
      <w:r w:rsidR="00B90D15" w:rsidRPr="009554F4">
        <w:rPr>
          <w:rFonts w:ascii="Arial" w:hAnsi="Arial" w:cs="Arial"/>
          <w:sz w:val="24"/>
          <w:szCs w:val="24"/>
        </w:rPr>
        <w:t xml:space="preserve">roughly two </w:t>
      </w:r>
      <w:r w:rsidR="00DD6405">
        <w:rPr>
          <w:rFonts w:ascii="Arial" w:hAnsi="Arial" w:cs="Arial"/>
          <w:sz w:val="24"/>
          <w:szCs w:val="24"/>
        </w:rPr>
        <w:t xml:space="preserve">short </w:t>
      </w:r>
      <w:r w:rsidR="00B90D15" w:rsidRPr="009554F4">
        <w:rPr>
          <w:rFonts w:ascii="Arial" w:hAnsi="Arial" w:cs="Arial"/>
          <w:sz w:val="24"/>
          <w:szCs w:val="24"/>
        </w:rPr>
        <w:t>weeks of negotiations before Paris and we note the slow progress in the</w:t>
      </w:r>
      <w:r w:rsidRPr="009554F4">
        <w:rPr>
          <w:rFonts w:ascii="Arial" w:hAnsi="Arial" w:cs="Arial"/>
          <w:sz w:val="24"/>
          <w:szCs w:val="24"/>
        </w:rPr>
        <w:t xml:space="preserve"> discussions on the subs</w:t>
      </w:r>
      <w:r w:rsidR="009554F4">
        <w:rPr>
          <w:rFonts w:ascii="Arial" w:hAnsi="Arial" w:cs="Arial"/>
          <w:sz w:val="24"/>
          <w:szCs w:val="24"/>
        </w:rPr>
        <w:t xml:space="preserve">tance of the outcome agreement, including </w:t>
      </w:r>
      <w:r w:rsidR="00DD6405">
        <w:rPr>
          <w:rFonts w:ascii="Arial" w:hAnsi="Arial" w:cs="Arial"/>
          <w:sz w:val="24"/>
          <w:szCs w:val="24"/>
        </w:rPr>
        <w:t>W</w:t>
      </w:r>
      <w:r w:rsidR="009554F4">
        <w:rPr>
          <w:rFonts w:ascii="Arial" w:hAnsi="Arial" w:cs="Arial"/>
          <w:sz w:val="24"/>
          <w:szCs w:val="24"/>
        </w:rPr>
        <w:t>orkstream 2</w:t>
      </w:r>
      <w:r w:rsidR="00DD6405">
        <w:rPr>
          <w:rFonts w:ascii="Arial" w:hAnsi="Arial" w:cs="Arial"/>
          <w:sz w:val="24"/>
          <w:szCs w:val="24"/>
        </w:rPr>
        <w:t>.</w:t>
      </w:r>
      <w:r w:rsidR="009554F4">
        <w:rPr>
          <w:rFonts w:ascii="Arial" w:hAnsi="Arial" w:cs="Arial"/>
          <w:sz w:val="24"/>
          <w:szCs w:val="24"/>
        </w:rPr>
        <w:t xml:space="preserve"> </w:t>
      </w:r>
      <w:r w:rsidR="002425A5">
        <w:rPr>
          <w:rFonts w:ascii="Arial" w:hAnsi="Arial" w:cs="Arial"/>
          <w:sz w:val="24"/>
          <w:szCs w:val="24"/>
        </w:rPr>
        <w:t xml:space="preserve">Urgent action is necessary to reduce emissions and keep </w:t>
      </w:r>
      <w:r w:rsidR="002425A5" w:rsidRPr="005375D6">
        <w:rPr>
          <w:rFonts w:ascii="Arial" w:hAnsi="Arial" w:cs="Arial"/>
          <w:sz w:val="24"/>
          <w:szCs w:val="24"/>
        </w:rPr>
        <w:t>global temperature rise well below 1.5 degrees above pre-industrial levels.</w:t>
      </w:r>
    </w:p>
    <w:p w:rsidR="00A17094" w:rsidRDefault="00A17094" w:rsidP="00716245">
      <w:pPr>
        <w:rPr>
          <w:rFonts w:ascii="Arial" w:hAnsi="Arial" w:cs="Arial"/>
          <w:sz w:val="24"/>
          <w:szCs w:val="24"/>
        </w:rPr>
      </w:pPr>
      <w:r w:rsidRPr="009554F4">
        <w:rPr>
          <w:rFonts w:ascii="Arial" w:hAnsi="Arial" w:cs="Arial"/>
          <w:sz w:val="24"/>
          <w:szCs w:val="24"/>
        </w:rPr>
        <w:t>The Constituency is appreciative of the strength of the g</w:t>
      </w:r>
      <w:r w:rsidR="00B90D15" w:rsidRPr="009554F4">
        <w:rPr>
          <w:rFonts w:ascii="Arial" w:hAnsi="Arial" w:cs="Arial"/>
          <w:sz w:val="24"/>
          <w:szCs w:val="24"/>
        </w:rPr>
        <w:t xml:space="preserve">ender considerations in major sections of the </w:t>
      </w:r>
      <w:r w:rsidR="005375D6">
        <w:rPr>
          <w:rFonts w:ascii="Arial" w:hAnsi="Arial" w:cs="Arial"/>
          <w:sz w:val="24"/>
          <w:szCs w:val="24"/>
        </w:rPr>
        <w:t xml:space="preserve">current </w:t>
      </w:r>
      <w:r w:rsidRPr="009554F4">
        <w:rPr>
          <w:rFonts w:ascii="Arial" w:hAnsi="Arial" w:cs="Arial"/>
          <w:sz w:val="24"/>
          <w:szCs w:val="24"/>
        </w:rPr>
        <w:t>text</w:t>
      </w:r>
      <w:r w:rsidR="00916C11">
        <w:rPr>
          <w:rFonts w:ascii="Arial" w:hAnsi="Arial" w:cs="Arial"/>
          <w:sz w:val="24"/>
          <w:szCs w:val="24"/>
        </w:rPr>
        <w:t>, with the exception of mitigation</w:t>
      </w:r>
      <w:r w:rsidR="0080703A">
        <w:rPr>
          <w:rFonts w:ascii="Arial" w:hAnsi="Arial" w:cs="Arial"/>
          <w:sz w:val="24"/>
          <w:szCs w:val="24"/>
        </w:rPr>
        <w:t>.</w:t>
      </w:r>
      <w:r w:rsidR="00B90D15" w:rsidRPr="009554F4">
        <w:rPr>
          <w:rFonts w:ascii="Arial" w:hAnsi="Arial" w:cs="Arial"/>
          <w:sz w:val="24"/>
          <w:szCs w:val="24"/>
        </w:rPr>
        <w:t xml:space="preserve"> </w:t>
      </w:r>
      <w:r w:rsidRPr="009554F4">
        <w:rPr>
          <w:rFonts w:ascii="Arial" w:hAnsi="Arial" w:cs="Arial"/>
          <w:sz w:val="24"/>
          <w:szCs w:val="24"/>
        </w:rPr>
        <w:t xml:space="preserve">Gender equality </w:t>
      </w:r>
      <w:r w:rsidR="005375D6">
        <w:rPr>
          <w:rFonts w:ascii="Arial" w:hAnsi="Arial" w:cs="Arial"/>
          <w:sz w:val="24"/>
          <w:szCs w:val="24"/>
        </w:rPr>
        <w:t>is</w:t>
      </w:r>
      <w:r w:rsidRPr="009554F4">
        <w:rPr>
          <w:rFonts w:ascii="Arial" w:hAnsi="Arial" w:cs="Arial"/>
          <w:sz w:val="24"/>
          <w:szCs w:val="24"/>
        </w:rPr>
        <w:t xml:space="preserve"> an integral and inextricable component to efficacy, </w:t>
      </w:r>
      <w:r w:rsidR="00916C11">
        <w:rPr>
          <w:rFonts w:ascii="Arial" w:hAnsi="Arial" w:cs="Arial"/>
          <w:sz w:val="24"/>
          <w:szCs w:val="24"/>
        </w:rPr>
        <w:t xml:space="preserve">sustainability and </w:t>
      </w:r>
      <w:r w:rsidRPr="009554F4">
        <w:rPr>
          <w:rFonts w:ascii="Arial" w:hAnsi="Arial" w:cs="Arial"/>
          <w:sz w:val="24"/>
          <w:szCs w:val="24"/>
        </w:rPr>
        <w:t xml:space="preserve">efficiency </w:t>
      </w:r>
      <w:r w:rsidR="007964DA" w:rsidRPr="009554F4">
        <w:rPr>
          <w:rFonts w:ascii="Arial" w:hAnsi="Arial" w:cs="Arial"/>
          <w:sz w:val="24"/>
          <w:szCs w:val="24"/>
        </w:rPr>
        <w:t>of any climate related action</w:t>
      </w:r>
      <w:r w:rsidR="00916C11">
        <w:rPr>
          <w:rFonts w:ascii="Arial" w:hAnsi="Arial" w:cs="Arial"/>
          <w:sz w:val="24"/>
          <w:szCs w:val="24"/>
        </w:rPr>
        <w:t>,</w:t>
      </w:r>
      <w:r w:rsidR="002030B8" w:rsidRPr="009554F4">
        <w:rPr>
          <w:rFonts w:ascii="Arial" w:hAnsi="Arial" w:cs="Arial"/>
          <w:sz w:val="24"/>
          <w:szCs w:val="24"/>
        </w:rPr>
        <w:t xml:space="preserve"> both</w:t>
      </w:r>
      <w:r w:rsidR="007964DA" w:rsidRPr="009554F4">
        <w:rPr>
          <w:rFonts w:ascii="Arial" w:hAnsi="Arial" w:cs="Arial"/>
          <w:sz w:val="24"/>
          <w:szCs w:val="24"/>
        </w:rPr>
        <w:t xml:space="preserve"> in </w:t>
      </w:r>
      <w:r w:rsidR="00916C11">
        <w:rPr>
          <w:rFonts w:ascii="Arial" w:hAnsi="Arial" w:cs="Arial"/>
          <w:sz w:val="24"/>
          <w:szCs w:val="24"/>
        </w:rPr>
        <w:t xml:space="preserve">the </w:t>
      </w:r>
      <w:r w:rsidR="005375D6">
        <w:rPr>
          <w:rFonts w:ascii="Arial" w:hAnsi="Arial" w:cs="Arial"/>
          <w:sz w:val="24"/>
          <w:szCs w:val="24"/>
        </w:rPr>
        <w:t>short-</w:t>
      </w:r>
      <w:r w:rsidR="007964DA" w:rsidRPr="009554F4">
        <w:rPr>
          <w:rFonts w:ascii="Arial" w:hAnsi="Arial" w:cs="Arial"/>
          <w:sz w:val="24"/>
          <w:szCs w:val="24"/>
        </w:rPr>
        <w:t xml:space="preserve">term and </w:t>
      </w:r>
      <w:r w:rsidRPr="009554F4">
        <w:rPr>
          <w:rFonts w:ascii="Arial" w:hAnsi="Arial" w:cs="Arial"/>
          <w:sz w:val="24"/>
          <w:szCs w:val="24"/>
        </w:rPr>
        <w:t>long-term</w:t>
      </w:r>
      <w:r w:rsidR="00916C11">
        <w:rPr>
          <w:rFonts w:ascii="Arial" w:hAnsi="Arial" w:cs="Arial"/>
          <w:sz w:val="24"/>
          <w:szCs w:val="24"/>
        </w:rPr>
        <w:t>.</w:t>
      </w:r>
      <w:r w:rsidRPr="009554F4">
        <w:rPr>
          <w:rFonts w:ascii="Arial" w:hAnsi="Arial" w:cs="Arial"/>
          <w:sz w:val="24"/>
          <w:szCs w:val="24"/>
        </w:rPr>
        <w:t xml:space="preserve"> </w:t>
      </w:r>
    </w:p>
    <w:p w:rsidR="00916C11" w:rsidRPr="005375D6" w:rsidRDefault="0080703A" w:rsidP="005375D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groups of countries and individual countries have requested that gender equality remain as part of the operational objectives and principles in Section C. </w:t>
      </w:r>
      <w:r w:rsidR="00321156">
        <w:rPr>
          <w:rFonts w:ascii="Arial" w:hAnsi="Arial" w:cs="Arial"/>
          <w:sz w:val="24"/>
          <w:szCs w:val="24"/>
        </w:rPr>
        <w:t>We</w:t>
      </w:r>
      <w:r w:rsidR="00321156" w:rsidRPr="00791394">
        <w:rPr>
          <w:rFonts w:ascii="Arial" w:hAnsi="Arial" w:cs="Arial"/>
          <w:sz w:val="24"/>
          <w:szCs w:val="24"/>
        </w:rPr>
        <w:t xml:space="preserve"> hope that this will reaffirm the need for gender equality to be reflected throughout all sections of the text</w:t>
      </w:r>
      <w:r w:rsidR="00321156" w:rsidRPr="005375D6">
        <w:rPr>
          <w:rFonts w:ascii="Arial" w:hAnsi="Arial" w:cs="Arial"/>
          <w:sz w:val="24"/>
          <w:szCs w:val="24"/>
        </w:rPr>
        <w:t xml:space="preserve">, including </w:t>
      </w:r>
      <w:r w:rsidR="00916C11" w:rsidRPr="005E220B">
        <w:rPr>
          <w:rFonts w:ascii="Arial" w:hAnsi="Arial" w:cs="Arial"/>
          <w:sz w:val="24"/>
          <w:szCs w:val="24"/>
        </w:rPr>
        <w:t>of gender text in the mitigation section.</w:t>
      </w:r>
      <w:r w:rsidR="00321156">
        <w:rPr>
          <w:rFonts w:ascii="Arial" w:hAnsi="Arial" w:cs="Arial"/>
          <w:sz w:val="24"/>
          <w:szCs w:val="24"/>
        </w:rPr>
        <w:t xml:space="preserve"> The</w:t>
      </w:r>
      <w:r w:rsidR="00321156" w:rsidRPr="00791394">
        <w:rPr>
          <w:rFonts w:ascii="Arial" w:hAnsi="Arial" w:cs="Arial"/>
          <w:sz w:val="24"/>
          <w:szCs w:val="24"/>
        </w:rPr>
        <w:t xml:space="preserve"> 2-day In-session workshop on gender-responsive climate policy (with a focus on mitigation action and technology development and transfer)</w:t>
      </w:r>
      <w:r w:rsidR="00321156" w:rsidRPr="005375D6">
        <w:rPr>
          <w:rFonts w:ascii="Arial" w:hAnsi="Arial" w:cs="Arial"/>
          <w:sz w:val="24"/>
          <w:szCs w:val="24"/>
        </w:rPr>
        <w:t> under SBI, where Parties engaged on the topic, further supports linking</w:t>
      </w:r>
      <w:r w:rsidR="00321156" w:rsidRPr="00791394">
        <w:rPr>
          <w:rFonts w:ascii="Arial" w:hAnsi="Arial" w:cs="Arial"/>
          <w:sz w:val="24"/>
          <w:szCs w:val="24"/>
        </w:rPr>
        <w:t xml:space="preserve"> gender and mitigation</w:t>
      </w:r>
      <w:r w:rsidR="00321156" w:rsidRPr="005375D6">
        <w:rPr>
          <w:rFonts w:ascii="Arial" w:hAnsi="Arial" w:cs="Arial"/>
          <w:sz w:val="24"/>
          <w:szCs w:val="24"/>
        </w:rPr>
        <w:t xml:space="preserve"> in the climate agreement.</w:t>
      </w:r>
    </w:p>
    <w:p w:rsidR="005375D6" w:rsidRPr="005375D6" w:rsidRDefault="005375D6" w:rsidP="005375D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21156" w:rsidRDefault="005375D6" w:rsidP="005375D6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  <w:lang w:val="en-IN"/>
        </w:rPr>
        <w:t>In</w:t>
      </w:r>
      <w:r>
        <w:rPr>
          <w:rFonts w:ascii="Arial" w:hAnsi="Arial" w:cs="Arial"/>
          <w:color w:val="auto"/>
        </w:rPr>
        <w:t xml:space="preserve"> the coming weeks, </w:t>
      </w:r>
      <w:r w:rsidR="00321156">
        <w:rPr>
          <w:rFonts w:ascii="Arial" w:hAnsi="Arial" w:cs="Arial"/>
          <w:color w:val="auto"/>
        </w:rPr>
        <w:t>t</w:t>
      </w:r>
      <w:r w:rsidR="00916C11">
        <w:rPr>
          <w:rFonts w:ascii="Arial" w:hAnsi="Arial" w:cs="Arial"/>
          <w:color w:val="auto"/>
        </w:rPr>
        <w:t xml:space="preserve">he Constituency urges Parties to work for a </w:t>
      </w:r>
      <w:r w:rsidR="00916C11" w:rsidRPr="009554F4">
        <w:rPr>
          <w:rFonts w:ascii="Arial" w:hAnsi="Arial" w:cs="Arial"/>
        </w:rPr>
        <w:t xml:space="preserve">just and gender-responsive </w:t>
      </w:r>
      <w:r w:rsidR="009554F4" w:rsidRPr="009554F4">
        <w:rPr>
          <w:rFonts w:ascii="Arial" w:hAnsi="Arial" w:cs="Arial"/>
          <w:color w:val="auto"/>
        </w:rPr>
        <w:t xml:space="preserve">Paris </w:t>
      </w:r>
      <w:r w:rsidR="00916C11">
        <w:rPr>
          <w:rFonts w:ascii="Arial" w:hAnsi="Arial" w:cs="Arial"/>
          <w:color w:val="auto"/>
        </w:rPr>
        <w:t xml:space="preserve">climate </w:t>
      </w:r>
      <w:r w:rsidR="009554F4" w:rsidRPr="009554F4">
        <w:rPr>
          <w:rFonts w:ascii="Arial" w:hAnsi="Arial" w:cs="Arial"/>
          <w:color w:val="auto"/>
        </w:rPr>
        <w:t>agreement</w:t>
      </w:r>
      <w:r w:rsidR="00BF02DC" w:rsidRPr="009554F4">
        <w:rPr>
          <w:rFonts w:ascii="Arial" w:hAnsi="Arial" w:cs="Arial"/>
        </w:rPr>
        <w:t xml:space="preserve"> </w:t>
      </w:r>
      <w:r w:rsidR="009554F4" w:rsidRPr="009554F4">
        <w:rPr>
          <w:rFonts w:ascii="Arial" w:hAnsi="Arial" w:cs="Arial"/>
        </w:rPr>
        <w:t>that</w:t>
      </w:r>
      <w:r w:rsidR="00BF02DC" w:rsidRPr="009554F4">
        <w:rPr>
          <w:rFonts w:ascii="Arial" w:hAnsi="Arial" w:cs="Arial"/>
        </w:rPr>
        <w:t xml:space="preserve"> fundamentally </w:t>
      </w:r>
      <w:r w:rsidR="009554F4" w:rsidRPr="009554F4">
        <w:rPr>
          <w:rFonts w:ascii="Arial" w:hAnsi="Arial" w:cs="Arial"/>
        </w:rPr>
        <w:t>will</w:t>
      </w:r>
      <w:r w:rsidR="00BF02DC" w:rsidRPr="009554F4">
        <w:rPr>
          <w:rFonts w:ascii="Arial" w:hAnsi="Arial" w:cs="Arial"/>
        </w:rPr>
        <w:t xml:space="preserve"> respect and promote human rights and gender equality</w:t>
      </w:r>
      <w:r w:rsidR="00916C11">
        <w:rPr>
          <w:rFonts w:ascii="Arial" w:hAnsi="Arial" w:cs="Arial"/>
        </w:rPr>
        <w:t>.</w:t>
      </w:r>
      <w:r w:rsidR="00244982">
        <w:rPr>
          <w:rFonts w:ascii="Arial" w:hAnsi="Arial" w:cs="Arial"/>
        </w:rPr>
        <w:t xml:space="preserve"> Additionally, it will:</w:t>
      </w:r>
    </w:p>
    <w:p w:rsidR="00BF0A5B" w:rsidRPr="005375D6" w:rsidRDefault="00BF02DC" w:rsidP="00537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5D6">
        <w:rPr>
          <w:rFonts w:ascii="Arial" w:hAnsi="Arial" w:cs="Arial"/>
          <w:sz w:val="24"/>
          <w:szCs w:val="24"/>
        </w:rPr>
        <w:t xml:space="preserve">ensure sustainable development and environmental integrity; </w:t>
      </w:r>
    </w:p>
    <w:p w:rsidR="00BF0A5B" w:rsidRPr="005375D6" w:rsidRDefault="00BF02DC" w:rsidP="00537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5D6">
        <w:rPr>
          <w:rFonts w:ascii="Arial" w:hAnsi="Arial" w:cs="Arial"/>
          <w:sz w:val="24"/>
          <w:szCs w:val="24"/>
        </w:rPr>
        <w:t>require fair, equitable, ambitious and binding mitigation commitments in line with the principles of Common but Differentiated R</w:t>
      </w:r>
      <w:r w:rsidR="00FE08A3" w:rsidRPr="005375D6">
        <w:rPr>
          <w:rFonts w:ascii="Arial" w:hAnsi="Arial" w:cs="Arial"/>
          <w:sz w:val="24"/>
          <w:szCs w:val="24"/>
        </w:rPr>
        <w:t xml:space="preserve">esponsibilities (CBDR); </w:t>
      </w:r>
    </w:p>
    <w:p w:rsidR="00BF0A5B" w:rsidRPr="005375D6" w:rsidRDefault="00BF02DC" w:rsidP="00537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5D6">
        <w:rPr>
          <w:rFonts w:ascii="Arial" w:hAnsi="Arial" w:cs="Arial"/>
          <w:sz w:val="24"/>
          <w:szCs w:val="24"/>
        </w:rPr>
        <w:t>urgent</w:t>
      </w:r>
      <w:r w:rsidR="00BF0A5B">
        <w:rPr>
          <w:rFonts w:ascii="Arial" w:hAnsi="Arial" w:cs="Arial"/>
          <w:sz w:val="24"/>
          <w:szCs w:val="24"/>
        </w:rPr>
        <w:t>ly</w:t>
      </w:r>
      <w:r w:rsidRPr="005375D6">
        <w:rPr>
          <w:rFonts w:ascii="Arial" w:hAnsi="Arial" w:cs="Arial"/>
          <w:sz w:val="24"/>
          <w:szCs w:val="24"/>
        </w:rPr>
        <w:t xml:space="preserve"> prioritize adaptation action and resources that respond to the most vulnerable countries, communities and populations;  </w:t>
      </w:r>
    </w:p>
    <w:p w:rsidR="00BF0A5B" w:rsidRPr="005375D6" w:rsidRDefault="00BF0A5B" w:rsidP="00537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="00BF02DC" w:rsidRPr="005375D6">
        <w:rPr>
          <w:rFonts w:ascii="Arial" w:hAnsi="Arial" w:cs="Arial"/>
          <w:sz w:val="24"/>
          <w:szCs w:val="24"/>
        </w:rPr>
        <w:t xml:space="preserve">a sustainable energy paradigm that prioritizes safe, decentralized renewable energy systems that benefit people and communities; </w:t>
      </w:r>
    </w:p>
    <w:p w:rsidR="00BF0A5B" w:rsidRDefault="00BF02DC" w:rsidP="00537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5D6">
        <w:rPr>
          <w:rFonts w:ascii="Arial" w:hAnsi="Arial" w:cs="Arial"/>
          <w:sz w:val="24"/>
          <w:szCs w:val="24"/>
        </w:rPr>
        <w:t xml:space="preserve">ensure adequate, new, additional and predictable climate finance for developing countries; </w:t>
      </w:r>
    </w:p>
    <w:p w:rsidR="00BF0A5B" w:rsidRPr="005375D6" w:rsidRDefault="00BF02DC" w:rsidP="00537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5D6">
        <w:rPr>
          <w:rFonts w:ascii="Arial" w:hAnsi="Arial" w:cs="Arial"/>
          <w:sz w:val="24"/>
          <w:szCs w:val="24"/>
        </w:rPr>
        <w:t xml:space="preserve">provide resources to reconcile loss and damage already incurred from climate inaction; and, </w:t>
      </w:r>
    </w:p>
    <w:p w:rsidR="00BF0A5B" w:rsidRPr="005375D6" w:rsidRDefault="00BF02DC" w:rsidP="00537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5D6">
        <w:rPr>
          <w:rFonts w:ascii="Arial" w:hAnsi="Arial" w:cs="Arial"/>
          <w:sz w:val="24"/>
          <w:szCs w:val="24"/>
        </w:rPr>
        <w:t xml:space="preserve">ensure full, inclusive and gender-equitable public participation in decision-making, with increased mandatory ex-ante and periodic human rights and gender equality impact assessments. </w:t>
      </w:r>
    </w:p>
    <w:p w:rsidR="00716245" w:rsidRDefault="00BF0A5B" w:rsidP="00BF0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agreement</w:t>
      </w:r>
      <w:r w:rsidR="00BF02DC" w:rsidRPr="009554F4">
        <w:rPr>
          <w:rFonts w:ascii="Arial" w:hAnsi="Arial" w:cs="Arial"/>
          <w:sz w:val="24"/>
          <w:szCs w:val="24"/>
        </w:rPr>
        <w:t xml:space="preserve"> must ensure that gender equality, equal access to decision making, and benefit sharing are integrated into all its provisions, including through gender-responsive means of implementation. Sex and gender disaggregated data and analysis of the underlying causes of any gender disparities must be mainstreamed in all information, communication and reporting systems.</w:t>
      </w:r>
    </w:p>
    <w:p w:rsidR="00FE08A3" w:rsidRPr="009554F4" w:rsidRDefault="00BF0A5B" w:rsidP="00BF0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Women and Gender Constituency is committed to working together to achieve an ambitious climate agreement.</w:t>
      </w:r>
      <w:r w:rsidR="005375D6">
        <w:rPr>
          <w:rFonts w:ascii="Arial" w:hAnsi="Arial" w:cs="Arial"/>
          <w:sz w:val="24"/>
          <w:szCs w:val="24"/>
        </w:rPr>
        <w:t xml:space="preserve"> </w:t>
      </w:r>
      <w:r w:rsidR="00FE08A3">
        <w:rPr>
          <w:rFonts w:ascii="Arial" w:hAnsi="Arial" w:cs="Arial"/>
          <w:sz w:val="24"/>
          <w:szCs w:val="24"/>
        </w:rPr>
        <w:t>Thank you</w:t>
      </w:r>
    </w:p>
    <w:p w:rsidR="00716245" w:rsidRPr="009554F4" w:rsidRDefault="00716245" w:rsidP="00716245">
      <w:pPr>
        <w:rPr>
          <w:rFonts w:ascii="Arial" w:hAnsi="Arial" w:cs="Arial"/>
          <w:sz w:val="24"/>
          <w:szCs w:val="24"/>
        </w:rPr>
      </w:pPr>
    </w:p>
    <w:p w:rsidR="00716245" w:rsidRPr="009554F4" w:rsidRDefault="00716245" w:rsidP="00716245">
      <w:pPr>
        <w:rPr>
          <w:rFonts w:ascii="Arial" w:hAnsi="Arial" w:cs="Arial"/>
          <w:sz w:val="24"/>
          <w:szCs w:val="24"/>
        </w:rPr>
      </w:pPr>
    </w:p>
    <w:p w:rsidR="00716245" w:rsidRPr="009554F4" w:rsidRDefault="00716245" w:rsidP="00716245">
      <w:pPr>
        <w:rPr>
          <w:rFonts w:ascii="Arial" w:hAnsi="Arial" w:cs="Arial"/>
          <w:sz w:val="24"/>
          <w:szCs w:val="24"/>
        </w:rPr>
      </w:pPr>
    </w:p>
    <w:p w:rsidR="00716245" w:rsidRPr="009554F4" w:rsidRDefault="00716245" w:rsidP="00716245">
      <w:pPr>
        <w:rPr>
          <w:rFonts w:ascii="Arial" w:hAnsi="Arial" w:cs="Arial"/>
          <w:sz w:val="24"/>
          <w:szCs w:val="24"/>
        </w:rPr>
      </w:pPr>
    </w:p>
    <w:sectPr w:rsidR="00716245" w:rsidRPr="009554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49" w:rsidRDefault="00726449" w:rsidP="007964DA">
      <w:pPr>
        <w:spacing w:after="0" w:line="240" w:lineRule="auto"/>
      </w:pPr>
      <w:r>
        <w:separator/>
      </w:r>
    </w:p>
  </w:endnote>
  <w:endnote w:type="continuationSeparator" w:id="0">
    <w:p w:rsidR="00726449" w:rsidRDefault="00726449" w:rsidP="007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987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4DA" w:rsidRDefault="007964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4DA" w:rsidRDefault="00796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49" w:rsidRDefault="00726449" w:rsidP="007964DA">
      <w:pPr>
        <w:spacing w:after="0" w:line="240" w:lineRule="auto"/>
      </w:pPr>
      <w:r>
        <w:separator/>
      </w:r>
    </w:p>
  </w:footnote>
  <w:footnote w:type="continuationSeparator" w:id="0">
    <w:p w:rsidR="00726449" w:rsidRDefault="00726449" w:rsidP="0079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67B"/>
    <w:multiLevelType w:val="hybridMultilevel"/>
    <w:tmpl w:val="FAF4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5"/>
    <w:rsid w:val="00196131"/>
    <w:rsid w:val="002030B8"/>
    <w:rsid w:val="002425A5"/>
    <w:rsid w:val="00244982"/>
    <w:rsid w:val="002C3706"/>
    <w:rsid w:val="00301FE3"/>
    <w:rsid w:val="00321156"/>
    <w:rsid w:val="00435FDC"/>
    <w:rsid w:val="005375D6"/>
    <w:rsid w:val="00613037"/>
    <w:rsid w:val="00642658"/>
    <w:rsid w:val="00655D15"/>
    <w:rsid w:val="00716245"/>
    <w:rsid w:val="00726449"/>
    <w:rsid w:val="007964DA"/>
    <w:rsid w:val="0080703A"/>
    <w:rsid w:val="00916C11"/>
    <w:rsid w:val="0093110C"/>
    <w:rsid w:val="009554F4"/>
    <w:rsid w:val="00964597"/>
    <w:rsid w:val="00A17094"/>
    <w:rsid w:val="00A41C7E"/>
    <w:rsid w:val="00B6126A"/>
    <w:rsid w:val="00B90D15"/>
    <w:rsid w:val="00BF02DC"/>
    <w:rsid w:val="00BF0A5B"/>
    <w:rsid w:val="00DD6405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9824A-FC1E-4953-B944-745BD54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45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DA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9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DA"/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BF0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0703A"/>
  </w:style>
  <w:style w:type="paragraph" w:styleId="BalloonText">
    <w:name w:val="Balloon Text"/>
    <w:basedOn w:val="Normal"/>
    <w:link w:val="BalloonTextChar"/>
    <w:uiPriority w:val="99"/>
    <w:semiHidden/>
    <w:unhideWhenUsed/>
    <w:rsid w:val="0091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11"/>
    <w:rPr>
      <w:rFonts w:ascii="Segoe UI" w:eastAsia="Calibri" w:hAnsi="Segoe UI" w:cs="Segoe UI"/>
      <w:sz w:val="18"/>
      <w:szCs w:val="18"/>
      <w:lang w:val="en-IN"/>
    </w:rPr>
  </w:style>
  <w:style w:type="paragraph" w:styleId="ListParagraph">
    <w:name w:val="List Paragraph"/>
    <w:basedOn w:val="Normal"/>
    <w:uiPriority w:val="34"/>
    <w:qFormat/>
    <w:rsid w:val="00BF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2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E0D5-F94D-4548-BA8A-07D53A39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vistro</dc:creator>
  <cp:lastModifiedBy>Eleanor</cp:lastModifiedBy>
  <cp:revision>2</cp:revision>
  <dcterms:created xsi:type="dcterms:W3CDTF">2015-06-15T14:12:00Z</dcterms:created>
  <dcterms:modified xsi:type="dcterms:W3CDTF">2015-06-15T14:12:00Z</dcterms:modified>
</cp:coreProperties>
</file>